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BBA4" w14:textId="563F189B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5B66D2">
        <w:rPr>
          <w:rFonts w:ascii="Arial Narrow" w:eastAsia="Times New Roman" w:hAnsi="Arial Narrow" w:cs="Times New Roman"/>
          <w:b/>
          <w:bCs/>
          <w:lang w:eastAsia="pl-PL"/>
        </w:rPr>
        <w:t>UZASADNIENIE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 xml:space="preserve">do oświadczenia </w:t>
      </w:r>
      <w:r w:rsidR="00200D9D">
        <w:rPr>
          <w:rFonts w:ascii="Arial Narrow" w:eastAsia="Times New Roman" w:hAnsi="Arial Narrow" w:cs="Times New Roman"/>
          <w:b/>
          <w:bCs/>
          <w:lang w:eastAsia="pl-PL"/>
        </w:rPr>
        <w:t>Politechniki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 xml:space="preserve"> Morskiej w Szczecinie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>o stanie kontroli zarządczej za 20</w:t>
      </w:r>
      <w:r w:rsidR="00221486">
        <w:rPr>
          <w:rFonts w:ascii="Arial Narrow" w:eastAsia="Times New Roman" w:hAnsi="Arial Narrow" w:cs="Times New Roman"/>
          <w:b/>
          <w:bCs/>
          <w:lang w:eastAsia="pl-PL"/>
        </w:rPr>
        <w:t>2</w:t>
      </w:r>
      <w:r w:rsidR="00200D9D">
        <w:rPr>
          <w:rFonts w:ascii="Arial Narrow" w:eastAsia="Times New Roman" w:hAnsi="Arial Narrow" w:cs="Times New Roman"/>
          <w:b/>
          <w:bCs/>
          <w:lang w:eastAsia="pl-PL"/>
        </w:rPr>
        <w:t>2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rok</w:t>
      </w:r>
    </w:p>
    <w:p w14:paraId="11643096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4BA8B233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Cs/>
          <w:lang w:eastAsia="pl-PL"/>
        </w:rPr>
      </w:pPr>
      <w:r w:rsidRPr="005B66D2">
        <w:rPr>
          <w:rFonts w:ascii="Arial Narrow" w:eastAsia="Times New Roman" w:hAnsi="Arial Narrow" w:cs="Times New Roman"/>
          <w:bCs/>
          <w:lang w:eastAsia="pl-PL"/>
        </w:rPr>
        <w:t xml:space="preserve">Omówienie wyników monitoringu i samooceny kontroli zarządczej w jednostce, informacje uzyskane </w:t>
      </w:r>
      <w:r w:rsidRPr="005B66D2">
        <w:rPr>
          <w:rFonts w:ascii="Arial Narrow" w:eastAsia="Times New Roman" w:hAnsi="Arial Narrow" w:cs="Times New Roman"/>
          <w:bCs/>
          <w:lang w:eastAsia="pl-PL"/>
        </w:rPr>
        <w:br/>
        <w:t>z procesu zarządzania ryzykiem oraz z przeprowadzonych audytów i kontroli, z uwzględnieniem ewentualnie stwierdzonych słabości kontroli zarządczej oraz planowanych działań, które zostały lub zostaną podjęte w celu poprawy funkcjonowania kontroli zarządczej:</w:t>
      </w:r>
    </w:p>
    <w:p w14:paraId="21C921DA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3C245B12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Omówienie </w:t>
      </w:r>
      <w:r w:rsidR="0098102B" w:rsidRPr="005B66D2">
        <w:rPr>
          <w:rFonts w:ascii="Arial Narrow" w:eastAsia="Times New Roman" w:hAnsi="Arial Narrow" w:cs="Times New Roman"/>
          <w:b/>
          <w:lang w:eastAsia="pl-PL"/>
        </w:rPr>
        <w:t>działań dotyczących monitorowania poszczególnych elementów systemu kontroli zarządczej, w tym</w:t>
      </w:r>
      <w:r w:rsidR="00593B6A" w:rsidRPr="005B66D2">
        <w:rPr>
          <w:rFonts w:ascii="Arial Narrow" w:eastAsia="Times New Roman" w:hAnsi="Arial Narrow" w:cs="Times New Roman"/>
          <w:b/>
          <w:lang w:eastAsia="pl-PL"/>
        </w:rPr>
        <w:t xml:space="preserve"> celów i zadań ujętych w planie działalności jednostki</w:t>
      </w:r>
      <w:r w:rsidRPr="005B66D2">
        <w:rPr>
          <w:rFonts w:ascii="Arial Narrow" w:eastAsia="Times New Roman" w:hAnsi="Arial Narrow" w:cs="Times New Roman"/>
          <w:b/>
          <w:lang w:eastAsia="pl-PL"/>
        </w:rPr>
        <w:t>:</w:t>
      </w:r>
    </w:p>
    <w:p w14:paraId="59C6A831" w14:textId="77777777" w:rsidR="008962C4" w:rsidRPr="005B66D2" w:rsidRDefault="008962C4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3FC27B00" w14:textId="77777777" w:rsidR="00200D9D" w:rsidRPr="00200D9D" w:rsidRDefault="00200D9D" w:rsidP="00200D9D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Plan działalności Uczelni na rok 2022 dotyczący osiągniecia celów dla poszczególnych jednostek organizacyjnych nie został wykonany zgodnie z założonymi wartościami mierników:</w:t>
      </w:r>
    </w:p>
    <w:p w14:paraId="22F59701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ogólny nr 1 w planie działalności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Doskonalenie jakości kształcenia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 – niespełnienie planowanej wartości miernika na koniec roku - </w:t>
      </w:r>
      <w:r w:rsidRPr="00200D9D">
        <w:rPr>
          <w:rFonts w:ascii="Arial Narrow" w:eastAsia="Times New Roman" w:hAnsi="Arial Narrow" w:cs="Times New Roman"/>
          <w:lang w:eastAsia="pl-PL"/>
        </w:rPr>
        <w:t xml:space="preserve"> W roku 2021 egzamin dyplomowy składali studenci, którzy z powodu pandemii nie złożyli tego egzaminy w 2020 r. Nastąpiła kumulacja części studentów z 2020 r. ze studentami z 2021 r., stąd w roku 2021 r. była większa liczba absolwentów w stosunku do roku 2022. Ponadto grupy studentów na kierunkach, które opuściły mury uczelni w minionych latach, były liczniejsze niż obecnie.</w:t>
      </w:r>
    </w:p>
    <w:p w14:paraId="42AEB956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ogólny nr 2 w planie działalności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Rozwój działalności naukowej i komercjalizacja jej wyników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 – przekroczenie planowanej wartości miernika na koniec roku – </w:t>
      </w:r>
      <w:bookmarkStart w:id="0" w:name="_Hlk126575137"/>
      <w:r w:rsidRPr="00200D9D">
        <w:rPr>
          <w:rFonts w:ascii="Arial Narrow" w:eastAsia="Times New Roman" w:hAnsi="Arial Narrow" w:cs="Times New Roman"/>
          <w:lang w:eastAsia="pl-PL"/>
        </w:rPr>
        <w:t xml:space="preserve">Wzrost aktywności publikacyjnej pracowników naukowych Uczelni związany z dążeniem do jak najwyższych kategorii w ewaluowanych dyscyplinach za lata 2022 – 2025. </w:t>
      </w:r>
      <w:bookmarkEnd w:id="0"/>
      <w:r w:rsidRPr="00200D9D">
        <w:rPr>
          <w:rFonts w:ascii="Arial Narrow" w:eastAsia="Times New Roman" w:hAnsi="Arial Narrow" w:cs="Times New Roman"/>
          <w:lang w:eastAsia="pl-PL"/>
        </w:rPr>
        <w:t xml:space="preserve">Publikacja artykułów złożonych do recenzji w trakcie pandemii (wydłużony czas recenzji). </w:t>
      </w:r>
    </w:p>
    <w:p w14:paraId="4408E605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ogólny nr 3 w planie działalności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Wzmocnienie współpracy z otoczeniem </w:t>
      </w:r>
      <w:proofErr w:type="spellStart"/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społeczno</w:t>
      </w:r>
      <w:proofErr w:type="spellEnd"/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 – gospodarczym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 – przekroczenie planowanej wartości  miernika na koniec roku - </w:t>
      </w:r>
      <w:r w:rsidRPr="00200D9D">
        <w:rPr>
          <w:rFonts w:ascii="Arial Narrow" w:eastAsia="Times New Roman" w:hAnsi="Arial Narrow" w:cs="Times New Roman"/>
          <w:lang w:eastAsia="pl-PL"/>
        </w:rPr>
        <w:t>Wzrost aktywności publikacyjnej pracowników naukowych Uczelni związany z dążeniem do jak najwyższych kategorii w ewaluowanych dyscyplinach za lata 2022 – 2025. Zwiększenie zainteresowania interesariuszy zewnętrznych współpracą z Uczelnią (przemysł + szkolnictwo średnie). Wzrost zainteresowania ofertą kulturalną Uczelni po pandemii.</w:t>
      </w:r>
    </w:p>
    <w:p w14:paraId="246D1620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ogólny nr 4 w planie działalności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Efektywne i skuteczne zarządzanie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 - przekroczenie planowanej wartości miernika na koniec roku. </w:t>
      </w:r>
      <w:r w:rsidRPr="00200D9D">
        <w:rPr>
          <w:rFonts w:ascii="Arial Narrow" w:eastAsia="Times New Roman" w:hAnsi="Arial Narrow" w:cs="Times New Roman"/>
          <w:lang w:eastAsia="pl-PL"/>
        </w:rPr>
        <w:t xml:space="preserve">Realizacja działań odnoszących o charakterze organizacyjnym i społecznym w Uczelni w wyniku przekształcenia się Akademii Morskiej w Szczecinie w Politechnikę Morską w Szczecinie oraz wprowadzeniu Planu Równości Politechniki Morskiej w Szczecinie (seria szkoleń i spotkań o charakterze informacyjnym pracowników PM na temat równości, </w:t>
      </w:r>
      <w:proofErr w:type="spellStart"/>
      <w:r w:rsidRPr="00200D9D">
        <w:rPr>
          <w:rFonts w:ascii="Arial Narrow" w:eastAsia="Times New Roman" w:hAnsi="Arial Narrow" w:cs="Times New Roman"/>
          <w:lang w:eastAsia="pl-PL"/>
        </w:rPr>
        <w:t>mobbingu</w:t>
      </w:r>
      <w:proofErr w:type="spellEnd"/>
      <w:r w:rsidRPr="00200D9D">
        <w:rPr>
          <w:rFonts w:ascii="Arial Narrow" w:eastAsia="Times New Roman" w:hAnsi="Arial Narrow" w:cs="Times New Roman"/>
          <w:lang w:eastAsia="pl-PL"/>
        </w:rPr>
        <w:t xml:space="preserve"> itp.).</w:t>
      </w:r>
    </w:p>
    <w:p w14:paraId="07F687F8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priorytetowy wynikający z budżetu państwa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Zapewnienie dostępu do edukacji na poziomie wyższym</w:t>
      </w:r>
      <w:r w:rsidRPr="00200D9D">
        <w:rPr>
          <w:rFonts w:ascii="Arial Narrow" w:eastAsia="Times New Roman" w:hAnsi="Arial Narrow" w:cs="Times New Roman"/>
          <w:lang w:eastAsia="pl-PL"/>
        </w:rPr>
        <w:t xml:space="preserve"> - 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niespełnienie planowanej wartości miernika na koniec roku. </w:t>
      </w:r>
      <w:r w:rsidRPr="00200D9D">
        <w:rPr>
          <w:rFonts w:ascii="Arial Narrow" w:eastAsia="Times New Roman" w:hAnsi="Arial Narrow" w:cs="Times New Roman"/>
          <w:lang w:eastAsia="pl-PL"/>
        </w:rPr>
        <w:t xml:space="preserve">W wyniku przeprowadzonej analizy stwierdzono, iż powodem zaistniałej sytuacji jest: </w:t>
      </w:r>
    </w:p>
    <w:p w14:paraId="17CAED5E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fluktuacyjny charakter miernika związany bezpośrednio z organizacją roku akademickiego,</w:t>
      </w:r>
    </w:p>
    <w:p w14:paraId="5F00F26F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niepodjęcie kształcenia lub rezygnacja ze studiów na skutek niskiego poziomu wiedzy studenta,</w:t>
      </w:r>
    </w:p>
    <w:p w14:paraId="42616A82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lastRenderedPageBreak/>
        <w:t>niezadawalające wyniki w nauce,</w:t>
      </w:r>
    </w:p>
    <w:p w14:paraId="2E3FE36E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prowadzenie obron w trybie ciągłym,</w:t>
      </w:r>
    </w:p>
    <w:p w14:paraId="6404C382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sytuacja finansowa– wzrost inflacji i stóp procentowych skłania młodych ludzi do podjęcia pracy, nie stać ich na koszty związane z opłatami za studia oraz koszty utrzymania w obliczu obecnej sytuacji kryzysowej w Polsce i na świecie,</w:t>
      </w:r>
    </w:p>
    <w:p w14:paraId="25CD362F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niepodjęcie studiów lub rezygnacja w wyniku nierozwiązanej sytuacji pobytowej.</w:t>
      </w:r>
    </w:p>
    <w:p w14:paraId="4CA46863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operacyjny nr 1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Rozszerzenie oferty edukacyjnej</w:t>
      </w:r>
      <w:r w:rsidRPr="00200D9D">
        <w:rPr>
          <w:rFonts w:ascii="Arial Narrow" w:eastAsia="Times New Roman" w:hAnsi="Arial Narrow" w:cs="Times New Roman"/>
          <w:lang w:eastAsia="pl-PL"/>
        </w:rPr>
        <w:t xml:space="preserve"> – 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przekroczenie planowanej wartości miernika na koniec roku. </w:t>
      </w:r>
      <w:r w:rsidRPr="00200D9D">
        <w:rPr>
          <w:rFonts w:ascii="Arial Narrow" w:eastAsia="Times New Roman" w:hAnsi="Arial Narrow" w:cs="Times New Roman"/>
          <w:lang w:eastAsia="pl-PL"/>
        </w:rPr>
        <w:t xml:space="preserve">Uruchomienie nowych kierunków studiów bez konieczności uzyskania zgody </w:t>
      </w:r>
      <w:proofErr w:type="spellStart"/>
      <w:r w:rsidRPr="00200D9D">
        <w:rPr>
          <w:rFonts w:ascii="Arial Narrow" w:eastAsia="Times New Roman" w:hAnsi="Arial Narrow" w:cs="Times New Roman"/>
          <w:lang w:eastAsia="pl-PL"/>
        </w:rPr>
        <w:t>MEiSW</w:t>
      </w:r>
      <w:proofErr w:type="spellEnd"/>
      <w:r w:rsidRPr="00200D9D">
        <w:rPr>
          <w:rFonts w:ascii="Arial Narrow" w:eastAsia="Times New Roman" w:hAnsi="Arial Narrow" w:cs="Times New Roman"/>
          <w:lang w:eastAsia="pl-PL"/>
        </w:rPr>
        <w:t xml:space="preserve"> - otrzymanie kategorii A dla dyscypliny Nauki o zarzadzaniu i jakości. </w:t>
      </w:r>
    </w:p>
    <w:p w14:paraId="5A458A76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operacyjny nr 4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Doskonalenie procesu rekrutacji we wszystkich formach kształcenia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br/>
        <w:t>w odniesieniu do sytuacji demograficznej</w:t>
      </w:r>
      <w:r w:rsidRPr="00200D9D">
        <w:rPr>
          <w:rFonts w:ascii="Arial Narrow" w:eastAsia="Times New Roman" w:hAnsi="Arial Narrow" w:cs="Times New Roman"/>
          <w:lang w:eastAsia="pl-PL"/>
        </w:rPr>
        <w:t xml:space="preserve"> – 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niespełnienie planowanej wartości miernika na koniec roku. </w:t>
      </w:r>
      <w:r w:rsidRPr="00200D9D">
        <w:rPr>
          <w:rFonts w:ascii="Arial Narrow" w:eastAsia="Times New Roman" w:hAnsi="Arial Narrow" w:cs="Times New Roman"/>
          <w:lang w:eastAsia="pl-PL"/>
        </w:rPr>
        <w:t xml:space="preserve">W wyniku przeprowadzonej analizy stwierdzono, iż powodem zaistniałej sytuacji jest: </w:t>
      </w:r>
    </w:p>
    <w:p w14:paraId="38DDAB4E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niż demograficzny – trwający od lat 90-tych powodujący co roku stopniowe zmniejszenie liczby potencjalnych kandydatów;</w:t>
      </w:r>
    </w:p>
    <w:p w14:paraId="2B01B265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sytuacja finansowa kandydatów – wzrost inflacji i stóp procentowych skłania młodych ludzi do podjęcia pracy, nie stać ich na koszty związane z opłatami za studia oraz koszty utrzymania w obliczu obecnej sytuacji kryzysowej w Polsce i na świecie;</w:t>
      </w:r>
    </w:p>
    <w:p w14:paraId="7B25851C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zmieniający się rynek pracy w Polsce, w którym pracodawcy zwracają mniejszą uwagę na poziom wykształcenia a na znajomość języków obcych czy ukończone kursy;</w:t>
      </w:r>
    </w:p>
    <w:p w14:paraId="69707AC1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wyjazdy za granicę – atrakcyjne zarobki skłaniają do wyjazdu do pracy za granicę;</w:t>
      </w:r>
    </w:p>
    <w:p w14:paraId="1B223A6C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wybór innej uczelni w tym lokalnych uczelni położonych blisko domu;</w:t>
      </w:r>
    </w:p>
    <w:p w14:paraId="0B2801D3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trwająca od dwóch lat sytuacja covidowa, która spowodowała, że  młodzież reprezentuje niższy poziom wiedzy co przekłada się na zdawalność matur;</w:t>
      </w:r>
    </w:p>
    <w:p w14:paraId="18DAC529" w14:textId="77777777" w:rsidR="00200D9D" w:rsidRPr="00200D9D" w:rsidRDefault="00200D9D" w:rsidP="00200D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niezdecydowanie młodzieży o podjęciu dalszej nauki.</w:t>
      </w:r>
    </w:p>
    <w:p w14:paraId="1BCA70A4" w14:textId="77777777" w:rsidR="00200D9D" w:rsidRPr="00200D9D" w:rsidRDefault="00200D9D" w:rsidP="00200D9D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Wprowadzono szereg działań w ramach rozwiniętej akcji promocyjnej i rekrutacyjnej – działania wskazane w tabeli.</w:t>
      </w:r>
    </w:p>
    <w:p w14:paraId="405006A4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operacyjny nr 5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Rozwój zasobów dydaktycznych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 – przekroczenie planowanej wartości miernika na koniec roku – </w:t>
      </w:r>
      <w:r w:rsidRPr="00200D9D">
        <w:rPr>
          <w:rFonts w:ascii="Arial Narrow" w:eastAsia="Times New Roman" w:hAnsi="Arial Narrow" w:cs="Times New Roman"/>
          <w:lang w:eastAsia="pl-PL"/>
        </w:rPr>
        <w:t>Realizacja działań związanych programem inwestycyjnym Polskiego Ośrodka Szkoleniowego Ratownictwa Morskiego POSRM w zakresie pozyskania nowych zasobów dydaktycznych.</w:t>
      </w:r>
    </w:p>
    <w:p w14:paraId="591B8ADB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operacyjny nr 6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Wzmocnienie działalności naukowej</w:t>
      </w:r>
      <w:r w:rsidRPr="00200D9D">
        <w:rPr>
          <w:rFonts w:ascii="Arial Narrow" w:eastAsia="Times New Roman" w:hAnsi="Arial Narrow" w:cs="Times New Roman"/>
          <w:lang w:eastAsia="pl-PL"/>
        </w:rPr>
        <w:t xml:space="preserve"> - 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przekroczenie planowanej wartości miernika na koniec roku - </w:t>
      </w:r>
      <w:r w:rsidRPr="00200D9D">
        <w:rPr>
          <w:rFonts w:ascii="Arial Narrow" w:eastAsia="Times New Roman" w:hAnsi="Arial Narrow" w:cs="Times New Roman"/>
          <w:lang w:eastAsia="pl-PL"/>
        </w:rPr>
        <w:t>Wzrost aktywności publikacyjnej pracowników naukowych Uczelni związany z dążeniem do jak najwyższych kategorii w ewaluowanych dyscyplinach za lata 2022 – 2025.</w:t>
      </w:r>
    </w:p>
    <w:p w14:paraId="10AAE621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b/>
          <w:bCs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operacyjny nr 8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Podnoszenie poziomu innowacyjności prowadzonej działalności naukowej i dążenie do tworzenia wyników o wysokim potencjale wdrożeniowym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 - przekroczenie planowanej wartości miernika na koniec roku - </w:t>
      </w:r>
      <w:r w:rsidRPr="00200D9D">
        <w:rPr>
          <w:rFonts w:ascii="Arial Narrow" w:eastAsia="Times New Roman" w:hAnsi="Arial Narrow" w:cs="Times New Roman"/>
          <w:lang w:eastAsia="pl-PL"/>
        </w:rPr>
        <w:t xml:space="preserve">Zwiększenie zainteresowania interesariuszy zewnętrznych współpracą z Uczelnią (przemysł). Wykorzystanie możliwości wynikającej z nawiązania współpracy z wiodącą firmą w obszarze IT i uzyskanie odpowiednich certyfikacji jako ośrodek szkoleniowy. </w:t>
      </w:r>
    </w:p>
    <w:p w14:paraId="074B290E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b/>
          <w:bCs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lastRenderedPageBreak/>
        <w:t xml:space="preserve">Cel operacyjny nr 9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Zapewnienie zasobów i ich efektywne wykorzystanie umożliwiające prowadzenie działalności naukowej na światowym poziomie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 -</w:t>
      </w:r>
      <w:r w:rsidRPr="00200D9D">
        <w:rPr>
          <w:rFonts w:ascii="Arial Narrow" w:eastAsia="Times New Roman" w:hAnsi="Arial Narrow" w:cs="Times New Roman"/>
          <w:lang w:eastAsia="pl-PL"/>
        </w:rPr>
        <w:t xml:space="preserve"> 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przekroczenie planowanej wartości miernika na koniec roku – </w:t>
      </w:r>
      <w:r w:rsidRPr="00200D9D">
        <w:rPr>
          <w:rFonts w:ascii="Arial Narrow" w:eastAsia="Times New Roman" w:hAnsi="Arial Narrow" w:cs="Times New Roman"/>
          <w:lang w:eastAsia="pl-PL"/>
        </w:rPr>
        <w:t>Pozyskanie dodatkowych środków inwestycyjnych na unowocześnienie i rozbudowę bazy dydaktycznej z Budżetu Państwa oraz z programów zewnętrznych.</w:t>
      </w:r>
    </w:p>
    <w:p w14:paraId="69729FE0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b/>
          <w:bCs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operacyjny nr 10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Kreowanie i rozwój trwałych związków z interesariuszami zewnętrznymi</w:t>
      </w:r>
      <w:r w:rsidRPr="00200D9D">
        <w:rPr>
          <w:rFonts w:ascii="Arial Narrow" w:eastAsia="Times New Roman" w:hAnsi="Arial Narrow" w:cs="Times New Roman"/>
          <w:lang w:eastAsia="pl-PL"/>
        </w:rPr>
        <w:t xml:space="preserve"> - 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przekroczenie planowanej wartości miernika na koniec roku - </w:t>
      </w:r>
      <w:r w:rsidRPr="00200D9D">
        <w:rPr>
          <w:rFonts w:ascii="Arial Narrow" w:eastAsia="Times New Roman" w:hAnsi="Arial Narrow" w:cs="Times New Roman"/>
          <w:lang w:eastAsia="pl-PL"/>
        </w:rPr>
        <w:t xml:space="preserve">Zwiększenie zainteresowania interesariuszy zewnętrznych współpracą z Uczelnią (przemysł + szkolnictwo średnie). Wzrost zainteresowania ofertą edukacyjna i badawczą Uczelni po pandemii oraz </w:t>
      </w:r>
      <w:r w:rsidRPr="00200D9D">
        <w:rPr>
          <w:rFonts w:ascii="Arial Narrow" w:eastAsia="Times New Roman" w:hAnsi="Arial Narrow" w:cs="Times New Roman"/>
          <w:lang w:eastAsia="pl-PL"/>
        </w:rPr>
        <w:br/>
        <w:t>w wyniku wzrostu działalności naukowej pracowników PM.</w:t>
      </w:r>
    </w:p>
    <w:p w14:paraId="6D6C5181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b/>
          <w:bCs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operacyjny nr 10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Kultywowanie tożsamości i tradycji morskich</w:t>
      </w:r>
      <w:r w:rsidRPr="00200D9D">
        <w:rPr>
          <w:rFonts w:ascii="Arial Narrow" w:eastAsia="Times New Roman" w:hAnsi="Arial Narrow" w:cs="Times New Roman"/>
          <w:lang w:eastAsia="pl-PL"/>
        </w:rPr>
        <w:t xml:space="preserve"> - 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przekroczenie planowanej wartości miernika na koniec roku - </w:t>
      </w:r>
      <w:r w:rsidRPr="00200D9D">
        <w:rPr>
          <w:rFonts w:ascii="Arial Narrow" w:eastAsia="Times New Roman" w:hAnsi="Arial Narrow" w:cs="Times New Roman"/>
          <w:lang w:eastAsia="pl-PL"/>
        </w:rPr>
        <w:t>Wzrost zainteresowania ofertą kulturalną Uczelni po pandemii. Intensyfikacja udziału przedstawicieli Uczelni w imprezach promujących tożsamość i tradycje morskie po zniesieniu stanu zagrożenia epidemicznego w kraju.</w:t>
      </w:r>
    </w:p>
    <w:p w14:paraId="6F7FA8BD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b/>
          <w:bCs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Cel operacyjny nr 13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Doskonalenie promocji i kreowania wizerunku</w:t>
      </w:r>
      <w:r w:rsidRPr="00200D9D">
        <w:rPr>
          <w:rFonts w:ascii="Arial Narrow" w:eastAsia="Times New Roman" w:hAnsi="Arial Narrow" w:cs="Times New Roman"/>
          <w:lang w:eastAsia="pl-PL"/>
        </w:rPr>
        <w:t xml:space="preserve"> - 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przekroczenie planowanej wartości miernika na koniec roku – wzrost wynikający z intensyfikowania działań w ramach promocji rekrutacji – </w:t>
      </w:r>
      <w:r w:rsidRPr="00200D9D">
        <w:rPr>
          <w:rFonts w:ascii="Arial Narrow" w:eastAsia="Times New Roman" w:hAnsi="Arial Narrow" w:cs="Times New Roman"/>
          <w:lang w:eastAsia="pl-PL"/>
        </w:rPr>
        <w:t>działania dodatkowe odpowiadające na zagrożenie nieosiągnięcia miernika celu operacyjnego nr 4.</w:t>
      </w:r>
    </w:p>
    <w:p w14:paraId="0F7943A3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 Cel operacyjny nr 14 </w:t>
      </w:r>
      <w:r w:rsidRPr="00200D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Profesjonalizacja kadry</w:t>
      </w:r>
      <w:r w:rsidRPr="00200D9D">
        <w:rPr>
          <w:rFonts w:ascii="Arial Narrow" w:eastAsia="Times New Roman" w:hAnsi="Arial Narrow" w:cs="Times New Roman"/>
          <w:lang w:eastAsia="pl-PL"/>
        </w:rPr>
        <w:t xml:space="preserve"> - 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przekroczenie planowanej wartości miernika na koniec roku – </w:t>
      </w:r>
      <w:r w:rsidRPr="00200D9D">
        <w:rPr>
          <w:rFonts w:ascii="Arial Narrow" w:eastAsia="Times New Roman" w:hAnsi="Arial Narrow" w:cs="Times New Roman"/>
          <w:lang w:eastAsia="pl-PL"/>
        </w:rPr>
        <w:t>nadmierne zwiększenie działań związanych z realizacją Planu Równości Szans – szkolenia pracowników Uczelni.</w:t>
      </w:r>
    </w:p>
    <w:p w14:paraId="3A248A20" w14:textId="77777777" w:rsidR="00200D9D" w:rsidRPr="00200D9D" w:rsidRDefault="00200D9D" w:rsidP="00200D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 Cel operacyjny nr 16 </w:t>
      </w:r>
      <w:r w:rsidRPr="00200D9D">
        <w:rPr>
          <w:rFonts w:ascii="Arial Narrow" w:eastAsia="Times New Roman" w:hAnsi="Arial Narrow" w:cs="Times New Roman"/>
          <w:b/>
          <w:i/>
          <w:iCs/>
          <w:lang w:eastAsia="pl-PL"/>
        </w:rPr>
        <w:t xml:space="preserve">Doskonalenie zarządzania finansami </w:t>
      </w:r>
      <w:r w:rsidRPr="00200D9D">
        <w:rPr>
          <w:rFonts w:ascii="Arial Narrow" w:eastAsia="Times New Roman" w:hAnsi="Arial Narrow" w:cs="Times New Roman"/>
          <w:b/>
          <w:lang w:eastAsia="pl-PL"/>
        </w:rPr>
        <w:t xml:space="preserve">- </w:t>
      </w:r>
      <w:r w:rsidRPr="00200D9D">
        <w:rPr>
          <w:rFonts w:ascii="Arial Narrow" w:eastAsia="Times New Roman" w:hAnsi="Arial Narrow" w:cs="Times New Roman"/>
          <w:b/>
          <w:bCs/>
          <w:lang w:eastAsia="pl-PL"/>
        </w:rPr>
        <w:t xml:space="preserve">przekroczenie planowanej wartości miernika na koniec roku – </w:t>
      </w:r>
      <w:r w:rsidRPr="00200D9D">
        <w:rPr>
          <w:rFonts w:ascii="Arial Narrow" w:eastAsia="Times New Roman" w:hAnsi="Arial Narrow" w:cs="Times New Roman"/>
          <w:lang w:eastAsia="pl-PL"/>
        </w:rPr>
        <w:t xml:space="preserve">przekroczenie miernika wynika z konieczności dostosowania systemu finansowo - księgowego do Polskiego Ładu oraz zmian wynikających </w:t>
      </w:r>
      <w:r w:rsidRPr="00200D9D">
        <w:rPr>
          <w:rFonts w:ascii="Arial Narrow" w:eastAsia="Times New Roman" w:hAnsi="Arial Narrow" w:cs="Times New Roman"/>
          <w:lang w:eastAsia="pl-PL"/>
        </w:rPr>
        <w:br/>
        <w:t xml:space="preserve">z przekształcenia Akademii Morskiej w Szczecinie w Politechnikę Morską w Szczecinie. </w:t>
      </w:r>
    </w:p>
    <w:p w14:paraId="26D3B329" w14:textId="77777777" w:rsidR="00200D9D" w:rsidRPr="00200D9D" w:rsidRDefault="00200D9D" w:rsidP="00200D9D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Cs/>
          <w:lang w:eastAsia="pl-PL"/>
        </w:rPr>
      </w:pPr>
      <w:r w:rsidRPr="00200D9D">
        <w:rPr>
          <w:rFonts w:ascii="Arial Narrow" w:eastAsia="Times New Roman" w:hAnsi="Arial Narrow" w:cs="Times New Roman"/>
          <w:bCs/>
          <w:lang w:eastAsia="pl-PL"/>
        </w:rPr>
        <w:t>Znaczne przekroczenia założonych mierników wyniknęły przede wszystkim z ostrożnego planowania Władz Uczelni w odniesieniu do przewidywanych możliwości finansowych. Dodatkowo w Planie działalności na 2022 r. nie ujęto działań, które nie były pewne , a decyzja o zaistnieniu miała charakter zewnętrzny. Do działań takich należy zaliczyć przede wszystkim podpisanie przez Prezydenta RP Ustawy z dnia 7.04.2022 r. o utworzeniu Politechniki Morskiej w Szczecinie, wyniki ewaluacji 3 dyscyplin naukowych i otrzymanie Kategorii A przez jedną z nich, realizacja  programu inwestycyjnego POSRM, pozyskanie dodatkowych funduszy inwestycyjnych w trakcie 2022 r. między innymi na rozwój bazy dydaktycznej PM  jak również wzrost zainteresowania interesariuszy zewnętrznych ofertą naukową Uczelni.</w:t>
      </w:r>
    </w:p>
    <w:p w14:paraId="64391B1D" w14:textId="77777777" w:rsidR="00BC3309" w:rsidRDefault="00BC3309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15E9F2C" w14:textId="099D4D26" w:rsidR="00420589" w:rsidRPr="005B66D2" w:rsidRDefault="00420589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Omówienie wyników samooceny kontroli zarządczej:</w:t>
      </w:r>
    </w:p>
    <w:p w14:paraId="3EB9FB1D" w14:textId="77777777" w:rsidR="00200D9D" w:rsidRPr="00200D9D" w:rsidRDefault="00200D9D" w:rsidP="00200D9D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Kierownicy pionów przedłożyli Rektorowi Politechniki Morskiej w Szczecinie oświadczenia cząstkowe dot. funkcjonowania kontroli zarządczej w podległych im pionach w 2022 r. 100% przedłożonych Rektorowi oświadczeń potwierdziło, iż w jednostkach organizacyjnych objętych systemem kontroli zarządczej w roku </w:t>
      </w:r>
      <w:r w:rsidRPr="00200D9D">
        <w:rPr>
          <w:rFonts w:ascii="Arial Narrow" w:eastAsia="Times New Roman" w:hAnsi="Arial Narrow" w:cs="Times New Roman"/>
          <w:lang w:eastAsia="pl-PL"/>
        </w:rPr>
        <w:lastRenderedPageBreak/>
        <w:t xml:space="preserve">sprawozdawczym, system kontroli zarządczej funkcjonował w stopniu wystarczającym, był adekwatny, skuteczny i efektywny. </w:t>
      </w:r>
    </w:p>
    <w:p w14:paraId="784D65C9" w14:textId="77777777" w:rsidR="00BC3309" w:rsidRDefault="00BC3309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78FEC92B" w14:textId="2E38267D"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483397">
        <w:rPr>
          <w:rFonts w:ascii="Arial Narrow" w:eastAsia="Times New Roman" w:hAnsi="Arial Narrow" w:cs="Times New Roman"/>
          <w:b/>
          <w:lang w:eastAsia="pl-PL"/>
        </w:rPr>
        <w:t>Omówienie wyników oceny zarządzania ryzykiem w kontroli zarządczej:</w:t>
      </w:r>
    </w:p>
    <w:p w14:paraId="075FAB92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 xml:space="preserve">Ocena zarządzania ryzykiem została sporządzona na podstawie przedłożonych przez jednostki dokumentów tj.:  </w:t>
      </w:r>
    </w:p>
    <w:p w14:paraId="7C45B396" w14:textId="02BBBEAD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</w:t>
      </w:r>
      <w:r w:rsidRPr="00BC3309">
        <w:rPr>
          <w:rFonts w:ascii="Arial Narrow" w:eastAsia="Times New Roman" w:hAnsi="Arial Narrow" w:cs="Times New Roman"/>
          <w:lang w:eastAsia="pl-PL"/>
        </w:rPr>
        <w:tab/>
        <w:t>Plan działalności Akademii Morskiej w Szczecinie na rok 202</w:t>
      </w:r>
      <w:r w:rsidR="00200D9D">
        <w:rPr>
          <w:rFonts w:ascii="Arial Narrow" w:eastAsia="Times New Roman" w:hAnsi="Arial Narrow" w:cs="Times New Roman"/>
          <w:lang w:eastAsia="pl-PL"/>
        </w:rPr>
        <w:t>2</w:t>
      </w:r>
      <w:r w:rsidRPr="00BC3309">
        <w:rPr>
          <w:rFonts w:ascii="Arial Narrow" w:eastAsia="Times New Roman" w:hAnsi="Arial Narrow" w:cs="Times New Roman"/>
          <w:lang w:eastAsia="pl-PL"/>
        </w:rPr>
        <w:t>,</w:t>
      </w:r>
    </w:p>
    <w:p w14:paraId="19078080" w14:textId="3519F7A3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</w:t>
      </w:r>
      <w:r w:rsidRPr="00BC3309">
        <w:rPr>
          <w:rFonts w:ascii="Arial Narrow" w:eastAsia="Times New Roman" w:hAnsi="Arial Narrow" w:cs="Times New Roman"/>
          <w:lang w:eastAsia="pl-PL"/>
        </w:rPr>
        <w:tab/>
        <w:t>Oświadczenia cząstkowe kierowników pionów dotyczące funkcjonowania kontroli zarządczej za rok 202</w:t>
      </w:r>
      <w:r w:rsidR="00200D9D">
        <w:rPr>
          <w:rFonts w:ascii="Arial Narrow" w:eastAsia="Times New Roman" w:hAnsi="Arial Narrow" w:cs="Times New Roman"/>
          <w:lang w:eastAsia="pl-PL"/>
        </w:rPr>
        <w:t>2</w:t>
      </w:r>
      <w:r w:rsidRPr="00BC3309">
        <w:rPr>
          <w:rFonts w:ascii="Arial Narrow" w:eastAsia="Times New Roman" w:hAnsi="Arial Narrow" w:cs="Times New Roman"/>
          <w:lang w:eastAsia="pl-PL"/>
        </w:rPr>
        <w:t>,</w:t>
      </w:r>
    </w:p>
    <w:p w14:paraId="4FD95D7B" w14:textId="65987F78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</w:t>
      </w:r>
      <w:r w:rsidRPr="00BC3309">
        <w:rPr>
          <w:rFonts w:ascii="Arial Narrow" w:eastAsia="Times New Roman" w:hAnsi="Arial Narrow" w:cs="Times New Roman"/>
          <w:lang w:eastAsia="pl-PL"/>
        </w:rPr>
        <w:tab/>
        <w:t>raporty kierowników pionów wskazanych do realizacji zadań ujętych w Planie działalności Akademii Morskiej w Szczecinie na rok 202</w:t>
      </w:r>
      <w:r w:rsidR="00200D9D">
        <w:rPr>
          <w:rFonts w:ascii="Arial Narrow" w:eastAsia="Times New Roman" w:hAnsi="Arial Narrow" w:cs="Times New Roman"/>
          <w:lang w:eastAsia="pl-PL"/>
        </w:rPr>
        <w:t>2</w:t>
      </w:r>
      <w:r w:rsidRPr="00BC3309">
        <w:rPr>
          <w:rFonts w:ascii="Arial Narrow" w:eastAsia="Times New Roman" w:hAnsi="Arial Narrow" w:cs="Times New Roman"/>
          <w:lang w:eastAsia="pl-PL"/>
        </w:rPr>
        <w:t>, na dzień 30.06.202</w:t>
      </w:r>
      <w:r w:rsidR="00200D9D">
        <w:rPr>
          <w:rFonts w:ascii="Arial Narrow" w:eastAsia="Times New Roman" w:hAnsi="Arial Narrow" w:cs="Times New Roman"/>
          <w:lang w:eastAsia="pl-PL"/>
        </w:rPr>
        <w:t>2</w:t>
      </w:r>
      <w:r w:rsidRPr="00BC3309">
        <w:rPr>
          <w:rFonts w:ascii="Arial Narrow" w:eastAsia="Times New Roman" w:hAnsi="Arial Narrow" w:cs="Times New Roman"/>
          <w:lang w:eastAsia="pl-PL"/>
        </w:rPr>
        <w:t xml:space="preserve"> r., 30.09.202</w:t>
      </w:r>
      <w:r w:rsidR="00200D9D">
        <w:rPr>
          <w:rFonts w:ascii="Arial Narrow" w:eastAsia="Times New Roman" w:hAnsi="Arial Narrow" w:cs="Times New Roman"/>
          <w:lang w:eastAsia="pl-PL"/>
        </w:rPr>
        <w:t>2</w:t>
      </w:r>
      <w:r w:rsidRPr="00BC3309">
        <w:rPr>
          <w:rFonts w:ascii="Arial Narrow" w:eastAsia="Times New Roman" w:hAnsi="Arial Narrow" w:cs="Times New Roman"/>
          <w:lang w:eastAsia="pl-PL"/>
        </w:rPr>
        <w:t xml:space="preserve"> r. oraz na dzień 31.12.202</w:t>
      </w:r>
      <w:r w:rsidR="00200D9D">
        <w:rPr>
          <w:rFonts w:ascii="Arial Narrow" w:eastAsia="Times New Roman" w:hAnsi="Arial Narrow" w:cs="Times New Roman"/>
          <w:lang w:eastAsia="pl-PL"/>
        </w:rPr>
        <w:t>2</w:t>
      </w:r>
      <w:r w:rsidRPr="00BC3309">
        <w:rPr>
          <w:rFonts w:ascii="Arial Narrow" w:eastAsia="Times New Roman" w:hAnsi="Arial Narrow" w:cs="Times New Roman"/>
          <w:lang w:eastAsia="pl-PL"/>
        </w:rPr>
        <w:t xml:space="preserve"> r. dotyczące monitorowania stopnia realizacji celów.</w:t>
      </w:r>
    </w:p>
    <w:p w14:paraId="60E40D40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27DD3ABA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 xml:space="preserve">Dokumenty zostały wygenerowane w odpowiednich, wskazanych do realizacji poszczególnych celów </w:t>
      </w:r>
    </w:p>
    <w:p w14:paraId="5FC89F21" w14:textId="65C667A8" w:rsidR="00625C8E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 xml:space="preserve">i zadań jednostkach organizacyjnych, ujętych w systemie kontroli zarządczej i podpisane przez osoby odpowiedzialne, kierowników pionów lub osoby przez nie delegowane. Formularze, na których sporządzono dokumenty były aktualne i zgodne ze wzorami zamieszczonymi w Komunikacie Ministra Infrastruktury z dnia 17 grudnia 2021 r. w sprawie szczegółowych wytycznych w zakresie kontroli zarządczej dla działów administracji rządowej – transport, żegluga śródlądowa, gospodarka morska oraz gospodarka wodna.. Monitoring zidentyfikowanych i ocenionych </w:t>
      </w:r>
      <w:proofErr w:type="spellStart"/>
      <w:r w:rsidRPr="00BC3309">
        <w:rPr>
          <w:rFonts w:ascii="Arial Narrow" w:eastAsia="Times New Roman" w:hAnsi="Arial Narrow" w:cs="Times New Roman"/>
          <w:lang w:eastAsia="pl-PL"/>
        </w:rPr>
        <w:t>ryzyk</w:t>
      </w:r>
      <w:proofErr w:type="spellEnd"/>
      <w:r w:rsidRPr="00BC3309">
        <w:rPr>
          <w:rFonts w:ascii="Arial Narrow" w:eastAsia="Times New Roman" w:hAnsi="Arial Narrow" w:cs="Times New Roman"/>
          <w:lang w:eastAsia="pl-PL"/>
        </w:rPr>
        <w:t xml:space="preserve"> prowadzony był w wersji elektronicznej.</w:t>
      </w:r>
    </w:p>
    <w:p w14:paraId="07839324" w14:textId="77777777" w:rsidR="00BC3309" w:rsidRPr="005B66D2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2E8D9652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Informacje uzyskane z przeprowadzonych audytów wewnętrznych:</w:t>
      </w:r>
    </w:p>
    <w:p w14:paraId="1DB98354" w14:textId="77777777" w:rsidR="00200D9D" w:rsidRPr="00200D9D" w:rsidRDefault="00200D9D" w:rsidP="00200D9D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Audyt: Bezpieczeństwo i higiena pracy, polityka szkoleniowa i polityka wynagradzania w obszarze zarządzania zasobami ludzkimi. Zakres: przeprowadzony w Dział Kadr /RK/, Dział Administracyjno-Gospodarczy /AG/, Dział Nauki /BB/. Ocena: pozytywna, ryzyko: średnie.</w:t>
      </w:r>
    </w:p>
    <w:p w14:paraId="70EFECAD" w14:textId="77777777" w:rsidR="00200D9D" w:rsidRPr="00200D9D" w:rsidRDefault="00200D9D" w:rsidP="00200D9D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3F57ADC5" w14:textId="77777777" w:rsidR="00200D9D" w:rsidRPr="00200D9D" w:rsidRDefault="00200D9D" w:rsidP="00200D9D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Audyt: Kształcenie ustawiczne (</w:t>
      </w:r>
      <w:proofErr w:type="spellStart"/>
      <w:r w:rsidRPr="00200D9D">
        <w:rPr>
          <w:rFonts w:ascii="Arial Narrow" w:eastAsia="Times New Roman" w:hAnsi="Arial Narrow" w:cs="Times New Roman"/>
          <w:lang w:eastAsia="pl-PL"/>
        </w:rPr>
        <w:t>Long</w:t>
      </w:r>
      <w:proofErr w:type="spellEnd"/>
      <w:r w:rsidRPr="00200D9D">
        <w:rPr>
          <w:rFonts w:ascii="Arial Narrow" w:eastAsia="Times New Roman" w:hAnsi="Arial Narrow" w:cs="Times New Roman"/>
          <w:lang w:eastAsia="pl-PL"/>
        </w:rPr>
        <w:t xml:space="preserve"> Life Learning). Zakres: przeprowadzony w Akademickie Centrum Szkoleniowe MUSTC /MUSTC/, Dział Finansowy /FF/.  Ocena: w przygotowaniu.</w:t>
      </w:r>
    </w:p>
    <w:p w14:paraId="214F0B21" w14:textId="77777777" w:rsid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ABFDD1C" w14:textId="4240C1A4" w:rsidR="00625C8E" w:rsidRPr="005B66D2" w:rsidRDefault="0098102B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Informacje uzyskane </w:t>
      </w:r>
      <w:r w:rsidR="00F257BF" w:rsidRPr="005B66D2">
        <w:rPr>
          <w:rFonts w:ascii="Arial Narrow" w:eastAsia="Times New Roman" w:hAnsi="Arial Narrow" w:cs="Times New Roman"/>
          <w:b/>
          <w:lang w:eastAsia="pl-PL"/>
        </w:rPr>
        <w:t>w wyniku</w:t>
      </w:r>
      <w:r w:rsidRPr="005B66D2">
        <w:rPr>
          <w:rFonts w:ascii="Arial Narrow" w:eastAsia="Times New Roman" w:hAnsi="Arial Narrow" w:cs="Times New Roman"/>
          <w:b/>
          <w:lang w:eastAsia="pl-PL"/>
        </w:rPr>
        <w:t xml:space="preserve"> przeprowadzonych audytów zewnętrznych</w:t>
      </w:r>
      <w:r w:rsidRPr="005B66D2">
        <w:rPr>
          <w:rFonts w:ascii="Arial Narrow" w:eastAsia="Times New Roman" w:hAnsi="Arial Narrow" w:cs="Times New Roman"/>
          <w:lang w:eastAsia="pl-PL"/>
        </w:rPr>
        <w:t>:</w:t>
      </w:r>
    </w:p>
    <w:p w14:paraId="584D62AD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 xml:space="preserve">Audyty zewnętrzne Ministerstwa Infrastruktury przeprowadzone na zgodności kształcenia </w:t>
      </w:r>
    </w:p>
    <w:p w14:paraId="4E4FAB03" w14:textId="34C86E40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 xml:space="preserve">z postanowieniami Konwencji STCW i ustawy o bezpieczeństwie morskim potwierdziły przyznanie uprawnień do prowadzenia szkoleń w poszczególnych ośrodkach szkoleniowych </w:t>
      </w:r>
      <w:r w:rsidR="00200D9D">
        <w:rPr>
          <w:rFonts w:ascii="Arial Narrow" w:eastAsia="Times New Roman" w:hAnsi="Arial Narrow" w:cs="Times New Roman"/>
          <w:lang w:eastAsia="pl-PL"/>
        </w:rPr>
        <w:t>Politechniki</w:t>
      </w:r>
      <w:r w:rsidRPr="00BC3309">
        <w:rPr>
          <w:rFonts w:ascii="Arial Narrow" w:eastAsia="Times New Roman" w:hAnsi="Arial Narrow" w:cs="Times New Roman"/>
          <w:lang w:eastAsia="pl-PL"/>
        </w:rPr>
        <w:t xml:space="preserve"> Morskiej w Szczecinie. W trakcie audytów nie stwierdzono niezgodności.</w:t>
      </w:r>
    </w:p>
    <w:p w14:paraId="61607F7C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70977788" w14:textId="4D344404" w:rsidR="00F257BF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 xml:space="preserve">Audyty zewnętrzne Systemów Zarządzania Jakością w poszczególnych jednostkach </w:t>
      </w:r>
      <w:r w:rsidR="00200D9D">
        <w:rPr>
          <w:rFonts w:ascii="Arial Narrow" w:eastAsia="Times New Roman" w:hAnsi="Arial Narrow" w:cs="Times New Roman"/>
          <w:lang w:eastAsia="pl-PL"/>
        </w:rPr>
        <w:t>Politechniki</w:t>
      </w:r>
      <w:r w:rsidRPr="00BC3309">
        <w:rPr>
          <w:rFonts w:ascii="Arial Narrow" w:eastAsia="Times New Roman" w:hAnsi="Arial Narrow" w:cs="Times New Roman"/>
          <w:lang w:eastAsia="pl-PL"/>
        </w:rPr>
        <w:t xml:space="preserve"> Morskiej w Szczecinie przeprowadzone przez </w:t>
      </w:r>
      <w:proofErr w:type="spellStart"/>
      <w:r w:rsidRPr="00BC3309">
        <w:rPr>
          <w:rFonts w:ascii="Arial Narrow" w:eastAsia="Times New Roman" w:hAnsi="Arial Narrow" w:cs="Times New Roman"/>
          <w:lang w:eastAsia="pl-PL"/>
        </w:rPr>
        <w:t>Lloyd’s</w:t>
      </w:r>
      <w:proofErr w:type="spellEnd"/>
      <w:r w:rsidRPr="00BC3309">
        <w:rPr>
          <w:rFonts w:ascii="Arial Narrow" w:eastAsia="Times New Roman" w:hAnsi="Arial Narrow" w:cs="Times New Roman"/>
          <w:lang w:eastAsia="pl-PL"/>
        </w:rPr>
        <w:t xml:space="preserve"> Register potwierdziły skuteczne i efektywne funkcjonowanie systemów w certyfikowanych zakresach. W trakcie audytu nie stwierdzono niezgodności.</w:t>
      </w:r>
    </w:p>
    <w:p w14:paraId="0B590C2D" w14:textId="77777777" w:rsidR="00BC3309" w:rsidRPr="005B66D2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5BE89D4A" w14:textId="2F95933B" w:rsidR="00BC3309" w:rsidRPr="00200D9D" w:rsidRDefault="00625C8E" w:rsidP="00200D9D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Informacje uzyskane </w:t>
      </w:r>
      <w:r w:rsidR="00A848F0" w:rsidRPr="005B66D2">
        <w:rPr>
          <w:rFonts w:ascii="Arial Narrow" w:eastAsia="Times New Roman" w:hAnsi="Arial Narrow" w:cs="Times New Roman"/>
          <w:b/>
          <w:lang w:eastAsia="pl-PL"/>
        </w:rPr>
        <w:t xml:space="preserve">w wyniku </w:t>
      </w:r>
      <w:r w:rsidRPr="005B66D2">
        <w:rPr>
          <w:rFonts w:ascii="Arial Narrow" w:eastAsia="Times New Roman" w:hAnsi="Arial Narrow" w:cs="Times New Roman"/>
          <w:b/>
          <w:lang w:eastAsia="pl-PL"/>
        </w:rPr>
        <w:t>przeprowadzonych kontroli wewnętrznych:</w:t>
      </w:r>
    </w:p>
    <w:p w14:paraId="7E2BA726" w14:textId="77777777" w:rsidR="00200D9D" w:rsidRP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Zatwierdzony w dniu 22 grudnia 2021 r. plan kontroli wewnętrznej na 2022 r. przewidywał przeprowadzenie dwóch kontroli mających na celu ustalenie stanu faktycznego w zakresie kontrolowanych działalności, rzetelne jego udokumentowanie oraz dokonanie oceny. </w:t>
      </w:r>
    </w:p>
    <w:p w14:paraId="6BB85E81" w14:textId="77777777" w:rsidR="00200D9D" w:rsidRP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W okresie sprawozdawczym Rektor Politechniki Morskiej w Szczecinie nie dokonał zmian w planie kontroli wewnętrznych na 2022 r.</w:t>
      </w:r>
    </w:p>
    <w:p w14:paraId="1B0E64E4" w14:textId="77777777" w:rsidR="00200D9D" w:rsidRP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Zakres kontroli przeprowadzonych w 2022 r. obejmował:</w:t>
      </w:r>
    </w:p>
    <w:p w14:paraId="12413335" w14:textId="77777777" w:rsidR="00200D9D" w:rsidRP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Zbadanie prowadzenia i rozliczania mienia przyjmowanego i przechowywanego w punkcie kasowym MOS w Kołobrzegu, procedur przy wykryciu nieprawidłowości w realizacji zadań i podejmowanych działań, ich negatywnych następstw oraz zbadanie zgodności działania pracowników odpowiedzialnych za prowadzenie punktu kasowego z interesem gospodarczym Uczelni. Zweryfikowanie rzetelności i prawidłowości prowadzonej dokumentacji finansowo – księgowej oraz elektronicznych systemów rejestrujących szkolenia, uczestników szkoleń, dokonanych opłat i przyznawanych zniżek.</w:t>
      </w:r>
    </w:p>
    <w:p w14:paraId="7A4E46D2" w14:textId="77777777" w:rsid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6A562A74" w14:textId="16F9701A" w:rsidR="00200D9D" w:rsidRP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Zbadanie prowadzenia ewidencji i dystrybucji sprzętu komputerowego oraz procedur przydzielania użytkownikom  sprzętu komputerowego.</w:t>
      </w:r>
    </w:p>
    <w:p w14:paraId="1D827562" w14:textId="77777777" w:rsid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06A798CF" w14:textId="27FFDB07" w:rsidR="00200D9D" w:rsidRP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W okresie od 1 stycznia do 31 grudnia 2022 r. w związku z koniecznością przeprowadzenia dwóch kontroli doraźnych dotyczących:</w:t>
      </w:r>
    </w:p>
    <w:p w14:paraId="669DE98E" w14:textId="500A10D2" w:rsidR="00200D9D" w:rsidRP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 xml:space="preserve"> Realizacji i rozliczenia projektu RYBY/1.13/WN/001 M/DORSZE II: Badania porównawcze innowacyjnych konstrukcji worka dorszowego redukujących ilość niewymiarowych ryb przy połowach włokowych dorsza bałtyckiego” w ramach Programu Operacyjnego „Rybactwo i Morze” 2014-2020;</w:t>
      </w:r>
    </w:p>
    <w:p w14:paraId="5315DACE" w14:textId="425091B5" w:rsidR="00200D9D" w:rsidRP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Realizacji i rozliczenia prac i projektów prowadzonych przez Pana prof. dr hab. inż. J.G oraz powstałych w ich wyniku urządzeń, stanowisk i składowych,</w:t>
      </w:r>
    </w:p>
    <w:p w14:paraId="0877F219" w14:textId="77777777" w:rsidR="00200D9D" w:rsidRP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plan kontroli wewnętrznej nie został zrealizowany w całości.</w:t>
      </w:r>
    </w:p>
    <w:p w14:paraId="7C8F53B6" w14:textId="77777777" w:rsidR="00200D9D" w:rsidRP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7EF5FD0D" w14:textId="6ADD0C71" w:rsidR="00200D9D" w:rsidRPr="00200D9D" w:rsidRDefault="00200D9D" w:rsidP="00200D9D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0D9D">
        <w:rPr>
          <w:rFonts w:ascii="Arial Narrow" w:eastAsia="Times New Roman" w:hAnsi="Arial Narrow" w:cs="Times New Roman"/>
          <w:lang w:eastAsia="pl-PL"/>
        </w:rPr>
        <w:t>Kontrola doraźna obejmująca realizację i rozliczenie prac i projektów prowadzonych przez Pana prof. dr hab. inż. J.G oraz powstałych w ich wyniku urządzeń, stanowisk i składowych rozpoczęto 11.04.2022 r. zostanie zrealizowana zgodnie z terminem ujętym w zawiadomieniu o kontroli doraźnej tj. 31.03.2023 r.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200D9D">
        <w:rPr>
          <w:rFonts w:ascii="Arial Narrow" w:eastAsia="Times New Roman" w:hAnsi="Arial Narrow" w:cs="Times New Roman"/>
          <w:lang w:eastAsia="pl-PL"/>
        </w:rPr>
        <w:t>W wyniku przeprowadzonej kontroli doraźnej wydano wnioski i zalecenia pokontrolne.</w:t>
      </w:r>
    </w:p>
    <w:p w14:paraId="20DBE3CC" w14:textId="77777777" w:rsidR="00BC3309" w:rsidRDefault="00BC3309" w:rsidP="00BC3309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4069D6B8" w14:textId="77777777" w:rsidR="00625C8E" w:rsidRPr="005B66D2" w:rsidRDefault="00625C8E" w:rsidP="005B66D2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Informacje uzyskane w wyniku przeprowadzonych kontroli zewnętrznych:</w:t>
      </w:r>
    </w:p>
    <w:p w14:paraId="5ECF075E" w14:textId="77777777" w:rsidR="00200D9D" w:rsidRPr="00200D9D" w:rsidRDefault="00200D9D" w:rsidP="00200D9D">
      <w:pPr>
        <w:pStyle w:val="Akapitzlist"/>
        <w:ind w:left="0"/>
        <w:rPr>
          <w:rFonts w:ascii="Arial Narrow" w:hAnsi="Arial Narrow"/>
        </w:rPr>
      </w:pPr>
      <w:r w:rsidRPr="00200D9D">
        <w:rPr>
          <w:rFonts w:ascii="Arial Narrow" w:hAnsi="Arial Narrow"/>
        </w:rPr>
        <w:t>Kontrola projektu „Dorsze II” przeprowadzona przez ARiMR - 24 – 28.10.2022 r. - brak uchybień.</w:t>
      </w:r>
    </w:p>
    <w:p w14:paraId="475A7717" w14:textId="77777777" w:rsidR="00200D9D" w:rsidRPr="00200D9D" w:rsidRDefault="00200D9D" w:rsidP="00200D9D">
      <w:pPr>
        <w:pStyle w:val="Akapitzlist"/>
        <w:ind w:left="0"/>
        <w:rPr>
          <w:rFonts w:ascii="Arial Narrow" w:hAnsi="Arial Narrow"/>
        </w:rPr>
      </w:pPr>
    </w:p>
    <w:p w14:paraId="7497944E" w14:textId="77777777" w:rsidR="00200D9D" w:rsidRPr="00200D9D" w:rsidRDefault="00200D9D" w:rsidP="00200D9D">
      <w:pPr>
        <w:pStyle w:val="Akapitzlist"/>
        <w:ind w:left="0"/>
        <w:rPr>
          <w:rFonts w:ascii="Arial Narrow" w:hAnsi="Arial Narrow"/>
        </w:rPr>
      </w:pPr>
      <w:r w:rsidRPr="00200D9D">
        <w:rPr>
          <w:rFonts w:ascii="Arial Narrow" w:hAnsi="Arial Narrow"/>
        </w:rPr>
        <w:t xml:space="preserve">Kontrola Zakładu Ubezpieczeń Społecznych – 31.08. – 02.09.2022 r., 05.09.2022 r., 15.09.2022 r., 19 – 20.09.2022 r., 22 – 23.09.2022 r. – w trakcie kontroli wskazano nieścisłości – dokonano odpowiednich korekt. </w:t>
      </w:r>
    </w:p>
    <w:p w14:paraId="76216433" w14:textId="77777777" w:rsidR="00200D9D" w:rsidRPr="00200D9D" w:rsidRDefault="00200D9D" w:rsidP="00200D9D">
      <w:pPr>
        <w:pStyle w:val="Akapitzlist"/>
        <w:ind w:left="0"/>
        <w:rPr>
          <w:rFonts w:ascii="Arial Narrow" w:hAnsi="Arial Narrow"/>
        </w:rPr>
      </w:pPr>
    </w:p>
    <w:p w14:paraId="7A0E0012" w14:textId="77777777" w:rsidR="00200D9D" w:rsidRPr="00200D9D" w:rsidRDefault="00200D9D" w:rsidP="00200D9D">
      <w:pPr>
        <w:pStyle w:val="Akapitzlist"/>
        <w:ind w:left="0"/>
        <w:rPr>
          <w:rFonts w:ascii="Arial Narrow" w:hAnsi="Arial Narrow"/>
        </w:rPr>
      </w:pPr>
      <w:r w:rsidRPr="00200D9D">
        <w:rPr>
          <w:rFonts w:ascii="Arial Narrow" w:hAnsi="Arial Narrow"/>
        </w:rPr>
        <w:lastRenderedPageBreak/>
        <w:t xml:space="preserve">Kontrola Państwowej Inspekcji Sanitarnej – Studencki Dom Marynarza KORAB – 04.07.2022 r., 18.07.2022 r. – kontrola interwencyjna – wskazano nieprawidłowości w stanie pomieszczeń. </w:t>
      </w:r>
    </w:p>
    <w:p w14:paraId="0625A303" w14:textId="77777777" w:rsidR="00200D9D" w:rsidRPr="00200D9D" w:rsidRDefault="00200D9D" w:rsidP="00200D9D">
      <w:pPr>
        <w:pStyle w:val="Akapitzlist"/>
        <w:ind w:left="0"/>
        <w:rPr>
          <w:rFonts w:ascii="Arial Narrow" w:hAnsi="Arial Narrow"/>
        </w:rPr>
      </w:pPr>
    </w:p>
    <w:p w14:paraId="6CEB4FED" w14:textId="77777777" w:rsidR="00200D9D" w:rsidRPr="00200D9D" w:rsidRDefault="00200D9D" w:rsidP="00200D9D">
      <w:pPr>
        <w:pStyle w:val="Akapitzlist"/>
        <w:ind w:left="0"/>
        <w:rPr>
          <w:rFonts w:ascii="Arial Narrow" w:hAnsi="Arial Narrow"/>
        </w:rPr>
      </w:pPr>
      <w:r w:rsidRPr="00200D9D">
        <w:rPr>
          <w:rFonts w:ascii="Arial Narrow" w:hAnsi="Arial Narrow"/>
        </w:rPr>
        <w:t>Ministerstwo Infrastruktury - Prawidłowość wydatkowania dotacji z budżetu państwa i efektywność realizacji inwestycji przez Akademię Morską w Szczecinie – 27.01 – 28.02.2022 r. – nie stwierdzono nieprawidłowości.</w:t>
      </w:r>
    </w:p>
    <w:p w14:paraId="1A662CE3" w14:textId="77777777" w:rsidR="00200D9D" w:rsidRPr="00200D9D" w:rsidRDefault="00200D9D" w:rsidP="00200D9D">
      <w:pPr>
        <w:pStyle w:val="Akapitzlist"/>
        <w:widowControl w:val="0"/>
        <w:ind w:left="0"/>
        <w:rPr>
          <w:rFonts w:ascii="Arial Narrow" w:hAnsi="Arial Narrow"/>
        </w:rPr>
      </w:pPr>
    </w:p>
    <w:p w14:paraId="792CABD4" w14:textId="7E43B122" w:rsidR="00625C8E" w:rsidRPr="005B66D2" w:rsidRDefault="00625C8E" w:rsidP="00BC330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 Narrow" w:hAnsi="Arial Narrow"/>
        </w:rPr>
      </w:pPr>
    </w:p>
    <w:sectPr w:rsidR="00625C8E" w:rsidRPr="005B66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944B" w14:textId="77777777" w:rsidR="007849D8" w:rsidRDefault="007849D8" w:rsidP="00730EF4">
      <w:pPr>
        <w:spacing w:after="0" w:line="240" w:lineRule="auto"/>
      </w:pPr>
      <w:r>
        <w:separator/>
      </w:r>
    </w:p>
  </w:endnote>
  <w:endnote w:type="continuationSeparator" w:id="0">
    <w:p w14:paraId="0F79F66D" w14:textId="77777777" w:rsidR="007849D8" w:rsidRDefault="007849D8" w:rsidP="0073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470828"/>
      <w:docPartObj>
        <w:docPartGallery w:val="Page Numbers (Bottom of Page)"/>
        <w:docPartUnique/>
      </w:docPartObj>
    </w:sdtPr>
    <w:sdtEndPr/>
    <w:sdtContent>
      <w:p w14:paraId="7F9FB214" w14:textId="77777777" w:rsidR="00302EBE" w:rsidRDefault="00302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97">
          <w:rPr>
            <w:noProof/>
          </w:rPr>
          <w:t>3</w:t>
        </w:r>
        <w:r>
          <w:fldChar w:fldCharType="end"/>
        </w:r>
      </w:p>
    </w:sdtContent>
  </w:sdt>
  <w:p w14:paraId="2C7FACD7" w14:textId="77777777" w:rsidR="00302EBE" w:rsidRDefault="0030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D588" w14:textId="77777777" w:rsidR="007849D8" w:rsidRDefault="007849D8" w:rsidP="00730EF4">
      <w:pPr>
        <w:spacing w:after="0" w:line="240" w:lineRule="auto"/>
      </w:pPr>
      <w:r>
        <w:separator/>
      </w:r>
    </w:p>
  </w:footnote>
  <w:footnote w:type="continuationSeparator" w:id="0">
    <w:p w14:paraId="3CEEE225" w14:textId="77777777" w:rsidR="007849D8" w:rsidRDefault="007849D8" w:rsidP="0073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AE5"/>
    <w:multiLevelType w:val="hybridMultilevel"/>
    <w:tmpl w:val="0A000EE4"/>
    <w:lvl w:ilvl="0" w:tplc="82CA21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A9194F"/>
    <w:multiLevelType w:val="hybridMultilevel"/>
    <w:tmpl w:val="425C164E"/>
    <w:lvl w:ilvl="0" w:tplc="1616B1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B91676"/>
    <w:multiLevelType w:val="hybridMultilevel"/>
    <w:tmpl w:val="C338DD64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8F7"/>
    <w:multiLevelType w:val="hybridMultilevel"/>
    <w:tmpl w:val="1AE6370A"/>
    <w:lvl w:ilvl="0" w:tplc="EB4427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5621"/>
    <w:multiLevelType w:val="hybridMultilevel"/>
    <w:tmpl w:val="D6365FFA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05C"/>
    <w:multiLevelType w:val="hybridMultilevel"/>
    <w:tmpl w:val="046AD544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0DE2"/>
    <w:multiLevelType w:val="hybridMultilevel"/>
    <w:tmpl w:val="A8403C36"/>
    <w:lvl w:ilvl="0" w:tplc="1616B1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EA3E42"/>
    <w:multiLevelType w:val="hybridMultilevel"/>
    <w:tmpl w:val="52B0A44E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90EFC"/>
    <w:multiLevelType w:val="hybridMultilevel"/>
    <w:tmpl w:val="0E0C31EA"/>
    <w:lvl w:ilvl="0" w:tplc="9D928C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42BE"/>
    <w:multiLevelType w:val="hybridMultilevel"/>
    <w:tmpl w:val="59AC71C2"/>
    <w:lvl w:ilvl="0" w:tplc="999C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966C5"/>
    <w:multiLevelType w:val="hybridMultilevel"/>
    <w:tmpl w:val="A8EE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42ABF"/>
    <w:multiLevelType w:val="hybridMultilevel"/>
    <w:tmpl w:val="31B09AF8"/>
    <w:lvl w:ilvl="0" w:tplc="1616B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52222">
    <w:abstractNumId w:val="8"/>
  </w:num>
  <w:num w:numId="2" w16cid:durableId="1618756883">
    <w:abstractNumId w:val="4"/>
  </w:num>
  <w:num w:numId="3" w16cid:durableId="372577401">
    <w:abstractNumId w:val="7"/>
  </w:num>
  <w:num w:numId="4" w16cid:durableId="234322821">
    <w:abstractNumId w:val="2"/>
  </w:num>
  <w:num w:numId="5" w16cid:durableId="936643278">
    <w:abstractNumId w:val="0"/>
  </w:num>
  <w:num w:numId="6" w16cid:durableId="172425770">
    <w:abstractNumId w:val="10"/>
  </w:num>
  <w:num w:numId="7" w16cid:durableId="485248268">
    <w:abstractNumId w:val="9"/>
  </w:num>
  <w:num w:numId="8" w16cid:durableId="1312103580">
    <w:abstractNumId w:val="5"/>
  </w:num>
  <w:num w:numId="9" w16cid:durableId="1602683932">
    <w:abstractNumId w:val="3"/>
  </w:num>
  <w:num w:numId="10" w16cid:durableId="1444500012">
    <w:abstractNumId w:val="1"/>
  </w:num>
  <w:num w:numId="11" w16cid:durableId="856114541">
    <w:abstractNumId w:val="6"/>
  </w:num>
  <w:num w:numId="12" w16cid:durableId="189998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8E"/>
    <w:rsid w:val="0007198E"/>
    <w:rsid w:val="000B50AB"/>
    <w:rsid w:val="000D0EAC"/>
    <w:rsid w:val="000E1B46"/>
    <w:rsid w:val="001425D9"/>
    <w:rsid w:val="00200D9D"/>
    <w:rsid w:val="00221486"/>
    <w:rsid w:val="002B51EB"/>
    <w:rsid w:val="00302EBE"/>
    <w:rsid w:val="003816B7"/>
    <w:rsid w:val="00410EFD"/>
    <w:rsid w:val="00420589"/>
    <w:rsid w:val="00483397"/>
    <w:rsid w:val="004C25BD"/>
    <w:rsid w:val="004E3838"/>
    <w:rsid w:val="00577C86"/>
    <w:rsid w:val="00593B6A"/>
    <w:rsid w:val="005A1FBF"/>
    <w:rsid w:val="005B66D2"/>
    <w:rsid w:val="00625C8E"/>
    <w:rsid w:val="006415CE"/>
    <w:rsid w:val="006762AC"/>
    <w:rsid w:val="006B00FF"/>
    <w:rsid w:val="00730EF4"/>
    <w:rsid w:val="007572B0"/>
    <w:rsid w:val="007849D8"/>
    <w:rsid w:val="007D65E8"/>
    <w:rsid w:val="008559AA"/>
    <w:rsid w:val="0085778F"/>
    <w:rsid w:val="008962C4"/>
    <w:rsid w:val="00917F4C"/>
    <w:rsid w:val="009356FC"/>
    <w:rsid w:val="009536B0"/>
    <w:rsid w:val="00956EEC"/>
    <w:rsid w:val="0098102B"/>
    <w:rsid w:val="009F4DC5"/>
    <w:rsid w:val="00A848F0"/>
    <w:rsid w:val="00AA339B"/>
    <w:rsid w:val="00B074E0"/>
    <w:rsid w:val="00B508CE"/>
    <w:rsid w:val="00B71BC6"/>
    <w:rsid w:val="00B76B6F"/>
    <w:rsid w:val="00BC3309"/>
    <w:rsid w:val="00BC7878"/>
    <w:rsid w:val="00BD487D"/>
    <w:rsid w:val="00C17D5F"/>
    <w:rsid w:val="00C235A9"/>
    <w:rsid w:val="00C319AA"/>
    <w:rsid w:val="00C34B1D"/>
    <w:rsid w:val="00CD459C"/>
    <w:rsid w:val="00D941DC"/>
    <w:rsid w:val="00DB6F2F"/>
    <w:rsid w:val="00DD0DE3"/>
    <w:rsid w:val="00DD64DB"/>
    <w:rsid w:val="00E95253"/>
    <w:rsid w:val="00ED6BF3"/>
    <w:rsid w:val="00F05063"/>
    <w:rsid w:val="00F17ABF"/>
    <w:rsid w:val="00F17EE1"/>
    <w:rsid w:val="00F257BF"/>
    <w:rsid w:val="00F34EE1"/>
    <w:rsid w:val="00F76FEA"/>
    <w:rsid w:val="00FC39F3"/>
    <w:rsid w:val="00FD2B9A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D46"/>
  <w15:chartTrackingRefBased/>
  <w15:docId w15:val="{7A6F683E-666E-4DA3-AD5F-521AC2C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625C8E"/>
    <w:pPr>
      <w:widowControl w:val="0"/>
      <w:autoSpaceDE w:val="0"/>
      <w:autoSpaceDN w:val="0"/>
      <w:adjustRightInd w:val="0"/>
      <w:spacing w:after="0" w:line="319" w:lineRule="exact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5C8E"/>
    <w:pPr>
      <w:spacing w:after="0" w:line="240" w:lineRule="auto"/>
    </w:pPr>
    <w:rPr>
      <w:rFonts w:ascii="Microsoft Sans Serif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F4"/>
  </w:style>
  <w:style w:type="paragraph" w:styleId="Stopka">
    <w:name w:val="footer"/>
    <w:basedOn w:val="Normalny"/>
    <w:link w:val="StopkaZnak"/>
    <w:uiPriority w:val="99"/>
    <w:unhideWhenUsed/>
    <w:rsid w:val="007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F4"/>
  </w:style>
  <w:style w:type="paragraph" w:styleId="Tekstdymka">
    <w:name w:val="Balloon Text"/>
    <w:basedOn w:val="Normalny"/>
    <w:link w:val="TekstdymkaZnak"/>
    <w:uiPriority w:val="99"/>
    <w:semiHidden/>
    <w:unhideWhenUsed/>
    <w:rsid w:val="00CD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F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yle1">
    <w:name w:val="Style1"/>
    <w:basedOn w:val="Normalny"/>
    <w:uiPriority w:val="99"/>
    <w:rsid w:val="005A1FB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5A1FBF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A8E3-9EE6-4B7E-8067-C74AC0B1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Wojniłko</dc:creator>
  <cp:keywords/>
  <dc:description/>
  <cp:lastModifiedBy>Katarzyna Prill</cp:lastModifiedBy>
  <cp:revision>2</cp:revision>
  <cp:lastPrinted>2018-03-07T11:11:00Z</cp:lastPrinted>
  <dcterms:created xsi:type="dcterms:W3CDTF">2023-02-06T11:44:00Z</dcterms:created>
  <dcterms:modified xsi:type="dcterms:W3CDTF">2023-02-06T11:44:00Z</dcterms:modified>
</cp:coreProperties>
</file>